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3F" w:rsidRPr="00C503B0" w:rsidRDefault="0091713F" w:rsidP="00161557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eastAsia="es-ES"/>
        </w:rPr>
      </w:pPr>
    </w:p>
    <w:tbl>
      <w:tblPr>
        <w:tblW w:w="8397" w:type="dxa"/>
        <w:jc w:val="center"/>
        <w:tblInd w:w="65" w:type="dxa"/>
        <w:tblCellMar>
          <w:left w:w="70" w:type="dxa"/>
          <w:right w:w="70" w:type="dxa"/>
        </w:tblCellMar>
        <w:tblLook w:val="00A0"/>
      </w:tblPr>
      <w:tblGrid>
        <w:gridCol w:w="2799"/>
        <w:gridCol w:w="2799"/>
        <w:gridCol w:w="2772"/>
        <w:gridCol w:w="27"/>
      </w:tblGrid>
      <w:tr w:rsidR="0091713F" w:rsidRPr="00A62C5B" w:rsidTr="006825D5">
        <w:trPr>
          <w:gridAfter w:val="1"/>
          <w:wAfter w:w="27" w:type="dxa"/>
          <w:trHeight w:val="406"/>
          <w:jc w:val="center"/>
        </w:trPr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91713F" w:rsidRPr="00C503B0" w:rsidRDefault="0091713F" w:rsidP="00C503B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C503B0">
              <w:rPr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DECLARACION JURADA DE HABILIDAD PARA CONTRATAR</w:t>
            </w:r>
          </w:p>
        </w:tc>
      </w:tr>
      <w:tr w:rsidR="0091713F" w:rsidRPr="00A62C5B" w:rsidTr="006825D5">
        <w:trPr>
          <w:gridAfter w:val="1"/>
          <w:wAfter w:w="27" w:type="dxa"/>
          <w:trHeight w:val="406"/>
          <w:jc w:val="center"/>
        </w:trPr>
        <w:tc>
          <w:tcPr>
            <w:tcW w:w="8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91713F" w:rsidRPr="00C503B0" w:rsidRDefault="0091713F" w:rsidP="00C503B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</w:pPr>
            <w:r w:rsidRPr="00C503B0">
              <w:rPr>
                <w:b/>
                <w:bCs/>
                <w:color w:val="000000"/>
                <w:sz w:val="28"/>
                <w:szCs w:val="28"/>
                <w:u w:val="single"/>
                <w:lang w:eastAsia="es-ES"/>
              </w:rPr>
              <w:t>CON FADEA</w:t>
            </w:r>
          </w:p>
        </w:tc>
      </w:tr>
      <w:tr w:rsidR="0091713F" w:rsidRPr="00A62C5B" w:rsidTr="006825D5">
        <w:trPr>
          <w:trHeight w:val="316"/>
          <w:jc w:val="center"/>
        </w:trPr>
        <w:tc>
          <w:tcPr>
            <w:tcW w:w="8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1713F" w:rsidRDefault="0091713F" w:rsidP="00C503B0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color w:val="000000"/>
                <w:sz w:val="24"/>
                <w:szCs w:val="24"/>
                <w:lang w:eastAsia="es-ES"/>
              </w:rPr>
              <w:t>Razón Social; Denominación o nombre completo:</w:t>
            </w:r>
          </w:p>
          <w:bookmarkStart w:id="0" w:name="Texto3"/>
          <w:p w:rsidR="0091713F" w:rsidRPr="00C503B0" w:rsidRDefault="0091713F" w:rsidP="00C503B0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6F6519">
              <w:rPr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  <w:format w:val="Mayúsculas"/>
                  </w:textInput>
                </w:ffData>
              </w:fldChar>
            </w:r>
            <w:r w:rsidRPr="006F6519">
              <w:rPr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Pr="006F6519">
              <w:rPr>
                <w:color w:val="000000"/>
                <w:sz w:val="24"/>
                <w:szCs w:val="24"/>
                <w:lang w:eastAsia="es-ES"/>
              </w:rPr>
            </w:r>
            <w:r w:rsidRPr="006F6519">
              <w:rPr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es-ES"/>
              </w:rPr>
              <w:t> </w:t>
            </w:r>
            <w:r w:rsidRPr="006F6519">
              <w:rPr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91713F" w:rsidRPr="00A62C5B" w:rsidTr="006825D5">
        <w:trPr>
          <w:trHeight w:val="316"/>
          <w:jc w:val="center"/>
        </w:trPr>
        <w:tc>
          <w:tcPr>
            <w:tcW w:w="8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13F" w:rsidRPr="00C503B0" w:rsidRDefault="0091713F" w:rsidP="00C503B0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</w:p>
        </w:tc>
      </w:tr>
      <w:tr w:rsidR="0091713F" w:rsidRPr="00A62C5B" w:rsidTr="006825D5">
        <w:trPr>
          <w:trHeight w:val="316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13F" w:rsidRPr="00C503B0" w:rsidRDefault="0091713F" w:rsidP="00C503B0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>
              <w:rPr>
                <w:color w:val="000000"/>
                <w:sz w:val="24"/>
                <w:szCs w:val="24"/>
                <w:lang w:eastAsia="es-ES"/>
              </w:rPr>
              <w:t>CUIT: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yúsculas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713F" w:rsidRPr="00A62C5B" w:rsidTr="006825D5">
        <w:trPr>
          <w:trHeight w:val="316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713F" w:rsidRDefault="0091713F" w:rsidP="00C503B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color w:val="000000"/>
                <w:sz w:val="24"/>
                <w:szCs w:val="24"/>
                <w:lang w:eastAsia="es-ES"/>
              </w:rPr>
              <w:t>PROCEDIMIENTO DE SELECCIÓN</w:t>
            </w:r>
          </w:p>
        </w:tc>
      </w:tr>
      <w:tr w:rsidR="0091713F" w:rsidRPr="00A62C5B" w:rsidTr="00A1383E">
        <w:trPr>
          <w:trHeight w:val="379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Default="0091713F" w:rsidP="000E68F8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Tipo del llamado:</w:t>
            </w:r>
          </w:p>
          <w:p w:rsidR="0091713F" w:rsidRPr="0086674F" w:rsidRDefault="0091713F" w:rsidP="000E68F8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751060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4"/>
                    <w:format w:val="Mayúsculas"/>
                  </w:textInput>
                </w:ffData>
              </w:fldChar>
            </w:r>
            <w:r w:rsidRPr="00751060">
              <w:rPr>
                <w:sz w:val="20"/>
              </w:rPr>
              <w:instrText xml:space="preserve"> FORMTEXT </w:instrText>
            </w:r>
            <w:r w:rsidRPr="00751060">
              <w:rPr>
                <w:sz w:val="20"/>
              </w:rPr>
            </w:r>
            <w:r w:rsidRPr="00751060"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51060">
              <w:rPr>
                <w:sz w:val="20"/>
              </w:rPr>
              <w:fldChar w:fldCharType="end"/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Default="0091713F" w:rsidP="000E68F8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N°</w:t>
            </w:r>
          </w:p>
          <w:p w:rsidR="0091713F" w:rsidRPr="0086674F" w:rsidRDefault="0091713F" w:rsidP="000E68F8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751060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4"/>
                    <w:format w:val="Mayúsculas"/>
                  </w:textInput>
                </w:ffData>
              </w:fldChar>
            </w:r>
            <w:r w:rsidRPr="00751060">
              <w:rPr>
                <w:sz w:val="20"/>
              </w:rPr>
              <w:instrText xml:space="preserve"> FORMTEXT </w:instrText>
            </w:r>
            <w:r w:rsidRPr="00751060">
              <w:rPr>
                <w:sz w:val="20"/>
              </w:rPr>
            </w:r>
            <w:r w:rsidRPr="00751060"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51060">
              <w:rPr>
                <w:sz w:val="20"/>
              </w:rPr>
              <w:fldChar w:fldCharType="end"/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Default="0091713F" w:rsidP="000E68F8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Expediente N°</w:t>
            </w:r>
          </w:p>
          <w:p w:rsidR="0091713F" w:rsidRPr="0086674F" w:rsidRDefault="0091713F" w:rsidP="000E68F8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751060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4"/>
                    <w:format w:val="Mayúsculas"/>
                  </w:textInput>
                </w:ffData>
              </w:fldChar>
            </w:r>
            <w:r w:rsidRPr="00751060">
              <w:rPr>
                <w:sz w:val="20"/>
              </w:rPr>
              <w:instrText xml:space="preserve"> FORMTEXT </w:instrText>
            </w:r>
            <w:r w:rsidRPr="00751060">
              <w:rPr>
                <w:sz w:val="20"/>
              </w:rPr>
            </w:r>
            <w:r w:rsidRPr="00751060"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 </w:t>
            </w:r>
            <w:r w:rsidRPr="00751060">
              <w:rPr>
                <w:sz w:val="20"/>
              </w:rPr>
              <w:fldChar w:fldCharType="end"/>
            </w:r>
          </w:p>
        </w:tc>
      </w:tr>
      <w:tr w:rsidR="0091713F" w:rsidRPr="00A62C5B" w:rsidTr="00B31899">
        <w:trPr>
          <w:trHeight w:val="1366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1713F" w:rsidRPr="00C503B0" w:rsidRDefault="0091713F" w:rsidP="00B31899">
            <w:pPr>
              <w:spacing w:after="0" w:line="240" w:lineRule="auto"/>
              <w:jc w:val="both"/>
              <w:rPr>
                <w:b/>
                <w:bCs/>
                <w:color w:val="000000"/>
                <w:lang w:eastAsia="es-ES"/>
              </w:rPr>
            </w:pPr>
            <w:r w:rsidRPr="00C503B0">
              <w:rPr>
                <w:b/>
                <w:bCs/>
                <w:color w:val="000000"/>
                <w:lang w:eastAsia="es-ES"/>
              </w:rPr>
              <w:t>El que suscribe (con poder suficiente para este acto) DECLARA BAJO JURAMENTO</w:t>
            </w:r>
            <w:r>
              <w:rPr>
                <w:b/>
                <w:bCs/>
                <w:color w:val="000000"/>
                <w:lang w:eastAsia="es-ES"/>
              </w:rPr>
              <w:t xml:space="preserve"> </w:t>
            </w:r>
            <w:r w:rsidRPr="00C503B0">
              <w:rPr>
                <w:b/>
                <w:bCs/>
                <w:color w:val="000000"/>
                <w:lang w:eastAsia="es-ES"/>
              </w:rPr>
              <w:t>que la firma la cual representa, está habilitada para contratar con FADEA</w:t>
            </w:r>
            <w:r>
              <w:rPr>
                <w:b/>
                <w:bCs/>
                <w:color w:val="000000"/>
                <w:lang w:eastAsia="es-ES"/>
              </w:rPr>
              <w:t xml:space="preserve"> </w:t>
            </w:r>
            <w:r w:rsidRPr="00C503B0">
              <w:rPr>
                <w:b/>
                <w:bCs/>
                <w:color w:val="000000"/>
                <w:lang w:eastAsia="es-ES"/>
              </w:rPr>
              <w:t>en razón de cumplir con los requisitos del "Reglamento de compras</w:t>
            </w:r>
            <w:r>
              <w:rPr>
                <w:b/>
                <w:bCs/>
                <w:color w:val="000000"/>
                <w:lang w:eastAsia="es-ES"/>
              </w:rPr>
              <w:t xml:space="preserve"> </w:t>
            </w:r>
            <w:r w:rsidRPr="00C503B0">
              <w:rPr>
                <w:b/>
                <w:bCs/>
                <w:color w:val="000000"/>
                <w:lang w:eastAsia="es-ES"/>
              </w:rPr>
              <w:t>y contrataciones de FADEA"; y que no está incursa en ninguna de las causales de inhabilidad establecidas a continuación</w:t>
            </w:r>
          </w:p>
        </w:tc>
      </w:tr>
      <w:tr w:rsidR="0091713F" w:rsidRPr="00A62C5B" w:rsidTr="006825D5">
        <w:trPr>
          <w:trHeight w:val="379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C503B0" w:rsidRDefault="0091713F" w:rsidP="00C503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S"/>
              </w:rPr>
            </w:pPr>
            <w:r w:rsidRPr="00C503B0">
              <w:rPr>
                <w:b/>
                <w:bCs/>
                <w:color w:val="000000"/>
                <w:lang w:eastAsia="es-ES"/>
              </w:rPr>
              <w:t>PROVEEDORES</w:t>
            </w:r>
          </w:p>
        </w:tc>
      </w:tr>
      <w:tr w:rsidR="0091713F" w:rsidRPr="00A62C5B" w:rsidTr="006825D5">
        <w:trPr>
          <w:trHeight w:val="379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C503B0" w:rsidRDefault="0091713F" w:rsidP="00C503B0">
            <w:pPr>
              <w:spacing w:after="0" w:line="240" w:lineRule="auto"/>
              <w:jc w:val="center"/>
              <w:rPr>
                <w:b/>
                <w:bCs/>
                <w:color w:val="000000"/>
                <w:lang w:eastAsia="es-ES"/>
              </w:rPr>
            </w:pPr>
            <w:r w:rsidRPr="00C503B0">
              <w:rPr>
                <w:b/>
                <w:bCs/>
                <w:color w:val="000000"/>
                <w:lang w:eastAsia="es-ES"/>
              </w:rPr>
              <w:t>CAPACIDAD PARA CONTRATAR</w:t>
            </w:r>
          </w:p>
        </w:tc>
      </w:tr>
      <w:tr w:rsidR="0091713F" w:rsidRPr="00A62C5B" w:rsidTr="006825D5">
        <w:trPr>
          <w:trHeight w:val="379"/>
          <w:jc w:val="center"/>
        </w:trPr>
        <w:tc>
          <w:tcPr>
            <w:tcW w:w="8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1- -PERSONAS HABILITADAS. Podrán contratar con FADEA, todas las personas físicas o jurídicas con capacidad para obligarse y que no se encuentren alcanzadas por las siguientes causales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 xml:space="preserve"> de inhabilidad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: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a) Las personas físicas o jurídicas que se encontraren suspendidas o inhabilitadas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b) Los agentes y funcionarios del ESTADO NACIONAL y las empresas en las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cuales aquellos tuvieren una participación suficiente para formar la voluntad social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c) Los fallidos, interdictos y concursados, verificada su situación por el área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 xml:space="preserve">competente, salvo que se trate de contratos donde resulte intrascendente la 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>c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apacidad económica del oferente.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d) Los condenados por delitos dolosos.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e) Las personas que se encontraren procesadas por delitos contra la propiedad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 xml:space="preserve">o contra </w:t>
            </w:r>
            <w:smartTag w:uri="urn:schemas-microsoft-com:office:smarttags" w:element="PersonName">
              <w:smartTagPr>
                <w:attr w:name="ProductID" w:val="la ADMINISTRACION PUBLICA NACIONAL"/>
              </w:smartTagPr>
              <w:r w:rsidRPr="00C503B0">
                <w:rPr>
                  <w:bCs/>
                  <w:color w:val="000000"/>
                  <w:sz w:val="24"/>
                  <w:szCs w:val="24"/>
                  <w:lang w:eastAsia="es-ES"/>
                </w:rPr>
                <w:t>la ADMINISTRACION PUBLICA NACIONAL</w:t>
              </w:r>
            </w:smartTag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, o contra la fe pública o por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delitos comprendidos en la Convención interamericana contra Corrupción LeyN°24.759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f) Las personas físicas o jurídicas que no hubieren cumplido con sus obligaciones</w:t>
            </w:r>
            <w:r>
              <w:rPr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impositivas y/o previsionales, de acuerdo a la normativa vigente.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g) Las personas físicas o jurídicas que no hubieren cumplido en tiempo oportuno</w:t>
            </w:r>
          </w:p>
          <w:p w:rsidR="0091713F" w:rsidRPr="00C503B0" w:rsidRDefault="0091713F" w:rsidP="00B31899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503B0">
              <w:rPr>
                <w:bCs/>
                <w:color w:val="000000"/>
                <w:sz w:val="24"/>
                <w:szCs w:val="24"/>
                <w:lang w:eastAsia="es-ES"/>
              </w:rPr>
              <w:t>con las rendiciones de cuentas a que alude el 8vo; último párrafo de la LeyN°24.156</w:t>
            </w:r>
          </w:p>
        </w:tc>
      </w:tr>
    </w:tbl>
    <w:p w:rsidR="0091713F" w:rsidRDefault="0091713F" w:rsidP="003A7C06">
      <w:pPr>
        <w:spacing w:after="0" w:line="240" w:lineRule="auto"/>
      </w:pPr>
    </w:p>
    <w:tbl>
      <w:tblPr>
        <w:tblW w:w="7806" w:type="dxa"/>
        <w:jc w:val="center"/>
        <w:tblInd w:w="65" w:type="dxa"/>
        <w:tblCellMar>
          <w:left w:w="70" w:type="dxa"/>
          <w:right w:w="70" w:type="dxa"/>
        </w:tblCellMar>
        <w:tblLook w:val="00A0"/>
      </w:tblPr>
      <w:tblGrid>
        <w:gridCol w:w="3189"/>
        <w:gridCol w:w="4617"/>
      </w:tblGrid>
      <w:tr w:rsidR="0091713F" w:rsidRPr="00A62C5B" w:rsidTr="005423E6">
        <w:trPr>
          <w:trHeight w:val="305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FIRMA: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ACLARACION:</w:t>
            </w:r>
          </w:p>
        </w:tc>
      </w:tr>
      <w:tr w:rsidR="0091713F" w:rsidRPr="00A62C5B" w:rsidTr="005423E6">
        <w:trPr>
          <w:trHeight w:val="305"/>
          <w:jc w:val="center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</w:p>
        </w:tc>
      </w:tr>
      <w:tr w:rsidR="0091713F" w:rsidRPr="00A62C5B" w:rsidTr="005423E6">
        <w:trPr>
          <w:trHeight w:val="305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TIPO Y N° DE  DOCUMENTO: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CARÁCTER:</w:t>
            </w:r>
          </w:p>
        </w:tc>
      </w:tr>
      <w:tr w:rsidR="0091713F" w:rsidRPr="00A62C5B" w:rsidTr="005423E6">
        <w:trPr>
          <w:trHeight w:val="305"/>
          <w:jc w:val="center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</w:p>
        </w:tc>
      </w:tr>
      <w:tr w:rsidR="0091713F" w:rsidRPr="00A62C5B" w:rsidTr="005423E6">
        <w:trPr>
          <w:trHeight w:val="305"/>
          <w:jc w:val="center"/>
        </w:trPr>
        <w:tc>
          <w:tcPr>
            <w:tcW w:w="7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  <w:r w:rsidRPr="0086674F">
              <w:rPr>
                <w:color w:val="000000"/>
                <w:sz w:val="24"/>
                <w:szCs w:val="24"/>
                <w:lang w:eastAsia="es-ES"/>
              </w:rPr>
              <w:t>LUGAR Y FECHA:</w:t>
            </w:r>
          </w:p>
        </w:tc>
      </w:tr>
      <w:tr w:rsidR="0091713F" w:rsidRPr="00A62C5B" w:rsidTr="005423E6">
        <w:trPr>
          <w:trHeight w:val="305"/>
          <w:jc w:val="center"/>
        </w:trPr>
        <w:tc>
          <w:tcPr>
            <w:tcW w:w="7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13F" w:rsidRPr="0086674F" w:rsidRDefault="0091713F" w:rsidP="00DA349C">
            <w:pPr>
              <w:spacing w:after="0" w:line="240" w:lineRule="auto"/>
              <w:rPr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91713F" w:rsidRDefault="0091713F" w:rsidP="003A7C06">
      <w:pPr>
        <w:spacing w:after="0" w:line="240" w:lineRule="auto"/>
      </w:pPr>
    </w:p>
    <w:sectPr w:rsidR="0091713F" w:rsidSect="006825D5">
      <w:headerReference w:type="default" r:id="rId6"/>
      <w:footerReference w:type="default" r:id="rId7"/>
      <w:pgSz w:w="11906" w:h="16838"/>
      <w:pgMar w:top="567" w:right="110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13F" w:rsidRDefault="0091713F">
      <w:r>
        <w:separator/>
      </w:r>
    </w:p>
  </w:endnote>
  <w:endnote w:type="continuationSeparator" w:id="0">
    <w:p w:rsidR="0091713F" w:rsidRDefault="0091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3F" w:rsidRDefault="0091713F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pt;margin-top:640.25pt;width:628pt;height:82.9pt;z-index:251660288;mso-position-horizontal-relative:margin;mso-position-vertical-relative:margin">
          <v:imagedata r:id="rId1" o:title=""/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13F" w:rsidRDefault="0091713F">
      <w:r>
        <w:separator/>
      </w:r>
    </w:p>
  </w:footnote>
  <w:footnote w:type="continuationSeparator" w:id="0">
    <w:p w:rsidR="0091713F" w:rsidRDefault="00917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3F" w:rsidRPr="00362F6D" w:rsidRDefault="0091713F" w:rsidP="0032752E">
    <w:pPr>
      <w:pStyle w:val="Header"/>
      <w:pBdr>
        <w:bottom w:val="single" w:sz="6" w:space="0" w:color="auto"/>
      </w:pBdr>
      <w:tabs>
        <w:tab w:val="clear" w:pos="4252"/>
        <w:tab w:val="center" w:pos="3850"/>
      </w:tabs>
      <w:spacing w:after="0" w:line="240" w:lineRule="auto"/>
      <w:rPr>
        <w:rFonts w:ascii="Arial" w:hAnsi="Arial" w:cs="Arial"/>
        <w:bCs/>
        <w:iCs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63.5pt;height:55.5pt">
          <v:imagedata r:id="rId1" o:title=""/>
        </v:shape>
      </w:pict>
    </w:r>
    <w:r>
      <w:t xml:space="preserve">                       </w:t>
    </w:r>
    <w:r w:rsidRPr="00362F6D">
      <w:rPr>
        <w:rFonts w:ascii="Arial" w:hAnsi="Arial" w:cs="Arial"/>
        <w:bCs/>
        <w:iCs/>
        <w:sz w:val="16"/>
        <w:szCs w:val="16"/>
      </w:rPr>
      <w:t xml:space="preserve">2014 – Año de Homenaje al Almirante Guillermo Brown, en el  Bicentenario </w:t>
    </w:r>
  </w:p>
  <w:p w:rsidR="0091713F" w:rsidRPr="00210234" w:rsidRDefault="0091713F" w:rsidP="0032752E">
    <w:pPr>
      <w:pStyle w:val="Header"/>
      <w:pBdr>
        <w:bottom w:val="single" w:sz="6" w:space="0" w:color="auto"/>
      </w:pBdr>
      <w:tabs>
        <w:tab w:val="clear" w:pos="4252"/>
        <w:tab w:val="center" w:pos="3850"/>
      </w:tabs>
      <w:spacing w:after="0" w:line="240" w:lineRule="auto"/>
    </w:pPr>
    <w:r w:rsidRPr="00362F6D">
      <w:rPr>
        <w:rFonts w:ascii="Arial" w:hAnsi="Arial" w:cs="Arial"/>
        <w:bCs/>
        <w:iCs/>
        <w:sz w:val="16"/>
        <w:szCs w:val="16"/>
      </w:rPr>
      <w:t xml:space="preserve">                                                                                             </w:t>
    </w:r>
    <w:r>
      <w:rPr>
        <w:rFonts w:ascii="Arial" w:hAnsi="Arial" w:cs="Arial"/>
        <w:bCs/>
        <w:iCs/>
        <w:sz w:val="16"/>
        <w:szCs w:val="16"/>
      </w:rPr>
      <w:t xml:space="preserve"> </w:t>
    </w:r>
    <w:r w:rsidRPr="00362F6D">
      <w:rPr>
        <w:rFonts w:ascii="Arial" w:hAnsi="Arial" w:cs="Arial"/>
        <w:bCs/>
        <w:iCs/>
        <w:sz w:val="16"/>
        <w:szCs w:val="16"/>
      </w:rPr>
      <w:t xml:space="preserve">      del Combate Naval de Montevideo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B0"/>
    <w:rsid w:val="00031F9B"/>
    <w:rsid w:val="000E68F8"/>
    <w:rsid w:val="000F7CC8"/>
    <w:rsid w:val="00133DA5"/>
    <w:rsid w:val="00161557"/>
    <w:rsid w:val="001774DF"/>
    <w:rsid w:val="00187233"/>
    <w:rsid w:val="001A257C"/>
    <w:rsid w:val="00210234"/>
    <w:rsid w:val="00267091"/>
    <w:rsid w:val="002765F8"/>
    <w:rsid w:val="00316D56"/>
    <w:rsid w:val="0032752E"/>
    <w:rsid w:val="003515A6"/>
    <w:rsid w:val="00362F6D"/>
    <w:rsid w:val="003A7C06"/>
    <w:rsid w:val="0047312F"/>
    <w:rsid w:val="004B56DF"/>
    <w:rsid w:val="004D2844"/>
    <w:rsid w:val="00533972"/>
    <w:rsid w:val="005423E6"/>
    <w:rsid w:val="005848D9"/>
    <w:rsid w:val="00611129"/>
    <w:rsid w:val="006825D5"/>
    <w:rsid w:val="006F6519"/>
    <w:rsid w:val="006F66A6"/>
    <w:rsid w:val="00751060"/>
    <w:rsid w:val="0075228A"/>
    <w:rsid w:val="007E5860"/>
    <w:rsid w:val="007F4967"/>
    <w:rsid w:val="0086674F"/>
    <w:rsid w:val="0091713F"/>
    <w:rsid w:val="00932F4F"/>
    <w:rsid w:val="00A1383E"/>
    <w:rsid w:val="00A218D7"/>
    <w:rsid w:val="00A62C5B"/>
    <w:rsid w:val="00A81F76"/>
    <w:rsid w:val="00AF6532"/>
    <w:rsid w:val="00B31899"/>
    <w:rsid w:val="00B7379D"/>
    <w:rsid w:val="00B90428"/>
    <w:rsid w:val="00C27A52"/>
    <w:rsid w:val="00C503B0"/>
    <w:rsid w:val="00C67178"/>
    <w:rsid w:val="00CE2E9D"/>
    <w:rsid w:val="00D25776"/>
    <w:rsid w:val="00DA349C"/>
    <w:rsid w:val="00DF04C4"/>
    <w:rsid w:val="00E513B5"/>
    <w:rsid w:val="00E70C87"/>
    <w:rsid w:val="00F229C6"/>
    <w:rsid w:val="00F52869"/>
    <w:rsid w:val="00FD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C6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0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6825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6DF"/>
    <w:rPr>
      <w:rFonts w:cs="Times New Roman"/>
      <w:lang w:val="es-ES"/>
    </w:rPr>
  </w:style>
  <w:style w:type="paragraph" w:styleId="Footer">
    <w:name w:val="footer"/>
    <w:basedOn w:val="Normal"/>
    <w:link w:val="FooterChar"/>
    <w:uiPriority w:val="99"/>
    <w:rsid w:val="006825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6DF"/>
    <w:rPr>
      <w:rFonts w:cs="Times New Roman"/>
      <w:lang w:val="es-E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6825D5"/>
    <w:rPr>
      <w:rFonts w:ascii="Calibri" w:hAnsi="Calibri" w:cs="Times New Roman"/>
      <w:sz w:val="22"/>
      <w:szCs w:val="22"/>
      <w:lang w:val="es-ES" w:eastAsia="en-US" w:bidi="ar-SA"/>
    </w:rPr>
  </w:style>
  <w:style w:type="character" w:customStyle="1" w:styleId="CarCar3">
    <w:name w:val="Car Car3"/>
    <w:basedOn w:val="DefaultParagraphFont"/>
    <w:uiPriority w:val="99"/>
    <w:rsid w:val="0032752E"/>
    <w:rPr>
      <w:rFonts w:ascii="Calibri" w:eastAsia="Times New Roman" w:hAnsi="Calibri" w:cs="Times New Roman"/>
      <w:sz w:val="22"/>
      <w:szCs w:val="22"/>
      <w:lang w:val="es-A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306</Words>
  <Characters>1684</Characters>
  <Application>Microsoft Office Outlook</Application>
  <DocSecurity>0</DocSecurity>
  <Lines>0</Lines>
  <Paragraphs>0</Paragraphs>
  <ScaleCrop>false</ScaleCrop>
  <Company>FADEASA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HABILIDAD PARA CONTRATAR</dc:title>
  <dc:subject/>
  <dc:creator>Aguirre, Karina Gisella</dc:creator>
  <cp:keywords/>
  <dc:description/>
  <cp:lastModifiedBy>LIENDO</cp:lastModifiedBy>
  <cp:revision>6</cp:revision>
  <cp:lastPrinted>2013-08-28T15:30:00Z</cp:lastPrinted>
  <dcterms:created xsi:type="dcterms:W3CDTF">2013-10-08T16:45:00Z</dcterms:created>
  <dcterms:modified xsi:type="dcterms:W3CDTF">2014-01-30T12:27:00Z</dcterms:modified>
</cp:coreProperties>
</file>